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b/>
          <w:bCs/>
          <w:color w:val="0F172A"/>
          <w:spacing w:val="10"/>
          <w:sz w:val="40"/>
          <w:szCs w:val="40"/>
        </w:rPr>
        <w:t xml:space="preserve">AHMED SHAHEEN</w:t>
      </w:r>
    </w:p>
    <w:p>
      <w:pPr>
        <w:spacing w:after="120"/>
      </w:pPr>
      <w:r>
        <w:rPr>
          <w:b/>
          <w:bCs/>
          <w:color w:val="0369A1"/>
          <w:sz w:val="23"/>
          <w:szCs w:val="23"/>
        </w:rPr>
        <w:t xml:space="preserve">Solutions Architect / Network and Security Technical Lead</w:t>
      </w:r>
    </w:p>
    <w:p>
      <w:pPr>
        <w:spacing w:after="240"/>
      </w:pPr>
      <w:r>
        <w:rPr>
          <w:color w:val="5B6B84"/>
          <w:sz w:val="20"/>
          <w:szCs w:val="20"/>
        </w:rPr>
        <w:t xml:space="preserve">Doha, Qatar</w:t>
      </w:r>
      <w:r>
        <w:rPr>
          <w:color w:val="5B6B84"/>
          <w:sz w:val="20"/>
          <w:szCs w:val="20"/>
        </w:rPr>
        <w:t xml:space="preserve">  |  </w:t>
      </w:r>
      <w:r>
        <w:rPr>
          <w:color w:val="5B6B84"/>
          <w:sz w:val="20"/>
          <w:szCs w:val="20"/>
        </w:rPr>
        <w:t xml:space="preserve">res.shaheen@gmail.com</w:t>
      </w:r>
      <w:r>
        <w:rPr>
          <w:color w:val="5B6B84"/>
          <w:sz w:val="20"/>
          <w:szCs w:val="20"/>
        </w:rPr>
        <w:t xml:space="preserve">  |  </w:t>
      </w:r>
      <w:hyperlink w:history="1" r:id="rIdgifa1h8mjzr2pnjc33ijy">
        <w:r>
          <w:rPr>
            <w:color w:val="0369A1"/>
            <w:sz w:val="20"/>
            <w:szCs w:val="20"/>
            <w:u w:val="single"/>
          </w:rPr>
          <w:t xml:space="preserve">linkedin.com/in/aashaheen</w:t>
        </w:r>
      </w:hyperlink>
    </w:p>
    <w:p>
      <w:pPr>
        <w:pStyle w:val="Heading2"/>
        <w:pBdr>
          <w:bottom w:val="single" w:color="0369A1" w:sz="6" w:space="4"/>
        </w:pBdr>
        <w:spacing w:after="120" w:before="280"/>
      </w:pPr>
      <w:r>
        <w:rPr>
          <w:b/>
          <w:bCs/>
          <w:caps/>
          <w:color w:val="0F172A"/>
          <w:spacing w:val="20"/>
          <w:sz w:val="24"/>
          <w:szCs w:val="24"/>
        </w:rPr>
        <w:t xml:space="preserve">Professional Summary</w:t>
      </w:r>
    </w:p>
    <w:p>
      <w:pPr>
        <w:spacing w:after="100"/>
      </w:pPr>
      <w:r>
        <w:rPr>
          <w:color w:val="222222"/>
          <w:sz w:val="21"/>
          <w:szCs w:val="21"/>
        </w:rPr>
        <w:t xml:space="preserve">Solutions Architect and Network &amp; Security Technical Lead with 20+ years in technology and networking since 2004, including 17+ years designing, implementing, and troubleshooting full IP network infrastructures in banking and financial services. Accomplished track record leading regional data center builds, PCI-DSS compliance programs, and disaster recovery programs across multi-country environments. Strong communicator and decision-maker comfortable owning both strategic planning (RFPs, budget, vendor management) and hands-on troubleshooting of complex routing, security, and data center incidents.</w:t>
      </w:r>
    </w:p>
    <w:p>
      <w:pPr>
        <w:pStyle w:val="Heading2"/>
        <w:pBdr>
          <w:bottom w:val="single" w:color="0369A1" w:sz="6" w:space="4"/>
        </w:pBdr>
        <w:spacing w:after="120" w:before="280"/>
      </w:pPr>
      <w:r>
        <w:rPr>
          <w:b/>
          <w:bCs/>
          <w:caps/>
          <w:color w:val="0F172A"/>
          <w:spacing w:val="20"/>
          <w:sz w:val="24"/>
          <w:szCs w:val="24"/>
        </w:rPr>
        <w:t xml:space="preserve">Core Competencies / Technical Skills</w:t>
      </w:r>
    </w:p>
    <w:p>
      <w:pPr>
        <w:spacing w:after="60"/>
      </w:pPr>
      <w:r>
        <w:rPr>
          <w:b/>
          <w:bCs/>
          <w:color w:val="0F172A"/>
          <w:sz w:val="21"/>
          <w:szCs w:val="21"/>
        </w:rPr>
        <w:t xml:space="preserve">Firewalls &amp; Security: </w:t>
      </w:r>
      <w:r>
        <w:rPr>
          <w:color w:val="222222"/>
          <w:sz w:val="21"/>
          <w:szCs w:val="21"/>
        </w:rPr>
        <w:t xml:space="preserve">Palo Alto (Panorama), FortiGate, Cisco ASA, Check Point, Juniper SRX/SSG, Bluecoat Proxy-SG</w:t>
      </w:r>
    </w:p>
    <w:p>
      <w:pPr>
        <w:spacing w:after="60"/>
      </w:pPr>
      <w:r>
        <w:rPr>
          <w:b/>
          <w:bCs/>
          <w:color w:val="0F172A"/>
          <w:sz w:val="21"/>
          <w:szCs w:val="21"/>
        </w:rPr>
        <w:t xml:space="preserve">Routing &amp; Switching: </w:t>
      </w:r>
      <w:r>
        <w:rPr>
          <w:color w:val="222222"/>
          <w:sz w:val="21"/>
          <w:szCs w:val="21"/>
        </w:rPr>
        <w:t xml:space="preserve">Cisco Data Center Routing &amp; Switching, Cisco ACI, Arista EOS, MPLS, EIGRP, OSPF, BGP</w:t>
      </w:r>
    </w:p>
    <w:p>
      <w:pPr>
        <w:spacing w:after="60"/>
      </w:pPr>
      <w:r>
        <w:rPr>
          <w:b/>
          <w:bCs/>
          <w:color w:val="0F172A"/>
          <w:sz w:val="21"/>
          <w:szCs w:val="21"/>
        </w:rPr>
        <w:t xml:space="preserve">Load Balancing &amp; NAC: </w:t>
      </w:r>
      <w:r>
        <w:rPr>
          <w:color w:val="222222"/>
          <w:sz w:val="21"/>
          <w:szCs w:val="21"/>
        </w:rPr>
        <w:t xml:space="preserve">F5 LTM/GTM/ASM, A10 Networks, Pulse Secure NAC, Cisco ISE</w:t>
      </w:r>
    </w:p>
    <w:p>
      <w:pPr>
        <w:spacing w:after="60"/>
      </w:pPr>
      <w:r>
        <w:rPr>
          <w:b/>
          <w:bCs/>
          <w:color w:val="0F172A"/>
          <w:sz w:val="21"/>
          <w:szCs w:val="21"/>
        </w:rPr>
        <w:t xml:space="preserve">SD-WAN &amp; Modern Networking: </w:t>
      </w:r>
      <w:r>
        <w:rPr>
          <w:color w:val="222222"/>
          <w:sz w:val="21"/>
          <w:szCs w:val="21"/>
        </w:rPr>
        <w:t xml:space="preserve">SD-WAN, Software-Defined Networking (SDN), VMware NSX, Zero Trust Network Access (ZTNA)</w:t>
      </w:r>
    </w:p>
    <w:p>
      <w:pPr>
        <w:spacing w:after="60"/>
      </w:pPr>
      <w:r>
        <w:rPr>
          <w:b/>
          <w:bCs/>
          <w:color w:val="0F172A"/>
          <w:sz w:val="21"/>
          <w:szCs w:val="21"/>
        </w:rPr>
        <w:t xml:space="preserve">Monitoring &amp; Diagnostics: </w:t>
      </w:r>
      <w:r>
        <w:rPr>
          <w:color w:val="222222"/>
          <w:sz w:val="21"/>
          <w:szCs w:val="21"/>
        </w:rPr>
        <w:t xml:space="preserve">HP Network Node Manager i (NNMi), Nagios, SolarWinds Orion, Wireshark</w:t>
      </w:r>
    </w:p>
    <w:p>
      <w:pPr>
        <w:spacing w:after="60"/>
      </w:pPr>
      <w:r>
        <w:rPr>
          <w:b/>
          <w:bCs/>
          <w:color w:val="0F172A"/>
          <w:sz w:val="21"/>
          <w:szCs w:val="21"/>
        </w:rPr>
        <w:t xml:space="preserve">SIEM &amp; Threat Detection: </w:t>
      </w:r>
      <w:r>
        <w:rPr>
          <w:color w:val="222222"/>
          <w:sz w:val="21"/>
          <w:szCs w:val="21"/>
        </w:rPr>
        <w:t xml:space="preserve">Splunk, IBM QRadar, IDS/IPS (Snort, Suricata), SOC Operations</w:t>
      </w:r>
    </w:p>
    <w:p>
      <w:pPr>
        <w:spacing w:after="60"/>
      </w:pPr>
      <w:r>
        <w:rPr>
          <w:b/>
          <w:bCs/>
          <w:color w:val="0F172A"/>
          <w:sz w:val="21"/>
          <w:szCs w:val="21"/>
        </w:rPr>
        <w:t xml:space="preserve">Cloud &amp; Virtualization: </w:t>
      </w:r>
      <w:r>
        <w:rPr>
          <w:color w:val="222222"/>
          <w:sz w:val="21"/>
          <w:szCs w:val="21"/>
        </w:rPr>
        <w:t xml:space="preserve">AWS, Microsoft Azure, VMware vSphere, Hybrid Cloud Networking</w:t>
      </w:r>
    </w:p>
    <w:p>
      <w:pPr>
        <w:spacing w:after="60"/>
      </w:pPr>
      <w:r>
        <w:rPr>
          <w:b/>
          <w:bCs/>
          <w:color w:val="0F172A"/>
          <w:sz w:val="21"/>
          <w:szCs w:val="21"/>
        </w:rPr>
        <w:t xml:space="preserve">Automation &amp; Scripting: </w:t>
      </w:r>
      <w:r>
        <w:rPr>
          <w:color w:val="222222"/>
          <w:sz w:val="21"/>
          <w:szCs w:val="21"/>
        </w:rPr>
        <w:t xml:space="preserve">Linux, Python, Bash, Ansible, Terraform, REST APIs</w:t>
      </w:r>
    </w:p>
    <w:p>
      <w:pPr>
        <w:spacing w:after="60"/>
      </w:pPr>
      <w:r>
        <w:rPr>
          <w:b/>
          <w:bCs/>
          <w:color w:val="0F172A"/>
          <w:sz w:val="21"/>
          <w:szCs w:val="21"/>
        </w:rPr>
        <w:t xml:space="preserve">Compliance &amp; Governance: </w:t>
      </w:r>
      <w:r>
        <w:rPr>
          <w:color w:val="222222"/>
          <w:sz w:val="21"/>
          <w:szCs w:val="21"/>
        </w:rPr>
        <w:t xml:space="preserve">PCI-DSS Design &amp; Segmentation, ISO 27001, NIST CSF, ITIL v4</w:t>
      </w:r>
    </w:p>
    <w:p>
      <w:pPr>
        <w:spacing w:after="60"/>
      </w:pPr>
      <w:r>
        <w:rPr>
          <w:b/>
          <w:bCs/>
          <w:color w:val="0F172A"/>
          <w:sz w:val="21"/>
          <w:szCs w:val="21"/>
        </w:rPr>
        <w:t xml:space="preserve">Languages: </w:t>
      </w:r>
      <w:r>
        <w:rPr>
          <w:color w:val="222222"/>
          <w:sz w:val="21"/>
          <w:szCs w:val="21"/>
        </w:rPr>
        <w:t xml:space="preserve">Arabic (fluent), English (fluent)</w:t>
      </w:r>
    </w:p>
    <w:p>
      <w:pPr>
        <w:pStyle w:val="Heading2"/>
        <w:pBdr>
          <w:bottom w:val="single" w:color="0369A1" w:sz="6" w:space="4"/>
        </w:pBdr>
        <w:spacing w:after="120" w:before="280"/>
      </w:pPr>
      <w:r>
        <w:rPr>
          <w:b/>
          <w:bCs/>
          <w:caps/>
          <w:color w:val="0F172A"/>
          <w:spacing w:val="20"/>
          <w:sz w:val="24"/>
          <w:szCs w:val="24"/>
        </w:rPr>
        <w:t xml:space="preserve">Professional Experience</w:t>
      </w:r>
    </w:p>
    <w:p>
      <w:pPr>
        <w:spacing w:after="10" w:before="120"/>
      </w:pPr>
      <w:r>
        <w:rPr>
          <w:b/>
          <w:bCs/>
          <w:color w:val="0F172A"/>
          <w:sz w:val="22"/>
          <w:szCs w:val="22"/>
        </w:rPr>
        <w:t xml:space="preserve">Tier-1 Regional Banking Group</w:t>
      </w:r>
      <w:r>
        <w:rPr>
          <w:color w:val="5B6B84"/>
          <w:sz w:val="21"/>
          <w:szCs w:val="21"/>
        </w:rPr>
        <w:t xml:space="preserve">  —  Doha, Qatar</w:t>
      </w:r>
    </w:p>
    <w:p>
      <w:pPr>
        <w:tabs>
          <w:tab w:val="right" w:pos="9216"/>
        </w:tabs>
        <w:spacing w:after="100"/>
      </w:pPr>
      <w:r>
        <w:rPr>
          <w:i/>
          <w:iCs/>
          <w:color w:val="0369A1"/>
          <w:sz w:val="21"/>
          <w:szCs w:val="21"/>
        </w:rPr>
        <w:t xml:space="preserve">Sr. Manager, Network Administration</w:t>
      </w:r>
      <w:r>
        <w:rPr>
          <w:color w:val="5B6B84"/>
          <w:sz w:val="20"/>
          <w:szCs w:val="20"/>
        </w:rPr>
        <w:t xml:space="preserve">	February 2011 – Present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Own stable operation of the Group's local and international network infrastructure, including RFP preparation, ISP/partner SLA review, audit remediation, and technical oversight of IT coordinators across international branches.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Lead complex projects spanning planning, design, configuration, monitoring, troubleshooting, and securing the Group's infrastructure — F5 LTM/GTM, Palo Alto + Panorama, Pulse Secure NAC, and legacy Juniper/Bluecoat/Cisco ACE platforms.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Designed and deployed PCI-DSS segmentation across on-prem and cloud layers.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Led the Group's main data-center migration for internet infrastructure.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Implemented network and security infrastructure for a new regional subsidiary (KSA).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Assessed and migrated an acquired regional bank onto the Group's network.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Planned, designed, and implemented a greenfield data center (Iraq).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Ran full disaster recovery simulations across local and off-shore data centers with a 100% success rate.</w:t>
      </w:r>
    </w:p>
    <w:p>
      <w:pPr>
        <w:spacing w:after="10" w:before="220"/>
      </w:pPr>
      <w:r>
        <w:rPr>
          <w:b/>
          <w:bCs/>
          <w:color w:val="0F172A"/>
          <w:sz w:val="22"/>
          <w:szCs w:val="22"/>
        </w:rPr>
        <w:t xml:space="preserve">Commercial Bank International (CBI)</w:t>
      </w:r>
      <w:r>
        <w:rPr>
          <w:color w:val="5B6B84"/>
          <w:sz w:val="21"/>
          <w:szCs w:val="21"/>
        </w:rPr>
        <w:t xml:space="preserve">  —  Dubai, UAE</w:t>
      </w:r>
    </w:p>
    <w:p>
      <w:pPr>
        <w:tabs>
          <w:tab w:val="right" w:pos="9216"/>
        </w:tabs>
        <w:spacing w:after="100"/>
      </w:pPr>
      <w:r>
        <w:rPr>
          <w:i/>
          <w:iCs/>
          <w:color w:val="0369A1"/>
          <w:sz w:val="21"/>
          <w:szCs w:val="21"/>
        </w:rPr>
        <w:t xml:space="preserve">Network Engineer (promoted from IT Security Administrator)</w:t>
      </w:r>
      <w:r>
        <w:rPr>
          <w:color w:val="5B6B84"/>
          <w:sz w:val="20"/>
          <w:szCs w:val="20"/>
        </w:rPr>
        <w:t xml:space="preserve">	October 2007 – January 2011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Set and delivered against project timelines, planning and controlling schedules while liaising with staff, suppliers, and contractors.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Provided network and security support to core bank operations.</w:t>
      </w:r>
    </w:p>
    <w:p>
      <w:pPr>
        <w:spacing w:after="10" w:before="220"/>
      </w:pPr>
      <w:r>
        <w:rPr>
          <w:b/>
          <w:bCs/>
          <w:color w:val="0F172A"/>
          <w:sz w:val="22"/>
          <w:szCs w:val="22"/>
        </w:rPr>
        <w:t xml:space="preserve">Ingram Micro</w:t>
      </w:r>
      <w:r>
        <w:rPr>
          <w:color w:val="5B6B84"/>
          <w:sz w:val="21"/>
          <w:szCs w:val="21"/>
        </w:rPr>
        <w:t xml:space="preserve">  —  Dubai, UAE</w:t>
      </w:r>
    </w:p>
    <w:p>
      <w:pPr>
        <w:tabs>
          <w:tab w:val="right" w:pos="9216"/>
        </w:tabs>
        <w:spacing w:after="100"/>
      </w:pPr>
      <w:r>
        <w:rPr>
          <w:i/>
          <w:iCs/>
          <w:color w:val="0369A1"/>
          <w:sz w:val="21"/>
          <w:szCs w:val="21"/>
        </w:rPr>
        <w:t xml:space="preserve">Sales, Technical Support &amp; Web/Training Administrator</w:t>
      </w:r>
      <w:r>
        <w:rPr>
          <w:color w:val="5B6B84"/>
          <w:sz w:val="20"/>
          <w:szCs w:val="20"/>
        </w:rPr>
        <w:t xml:space="preserve">	December 2004 – November 2007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Held various posts across sales, customer service, technical support, and web/training administration — the foundation for the move into network and security engineering.</w:t>
      </w:r>
    </w:p>
    <w:p>
      <w:pPr>
        <w:pStyle w:val="Heading2"/>
        <w:pBdr>
          <w:bottom w:val="single" w:color="0369A1" w:sz="6" w:space="4"/>
        </w:pBdr>
        <w:spacing w:after="120" w:before="280"/>
      </w:pPr>
      <w:r>
        <w:rPr>
          <w:b/>
          <w:bCs/>
          <w:caps/>
          <w:color w:val="0F172A"/>
          <w:spacing w:val="20"/>
          <w:sz w:val="24"/>
          <w:szCs w:val="24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Palo Alto Accredited Configuration Engineer (ACE7)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Bluecoat Certified Proxy Administrator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Juniper Networks Certified Internet Associate (JNCIA-JUNOS)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Cisco Certified Network Professional (CCNP)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Cisco Certified Network Associate (CCNA)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Cisco Certified Network Associate – Security (CCNA Security)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Cisco Firewall Security Specialist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Microsoft Certified Professional (MCSE)</w:t>
      </w:r>
    </w:p>
    <w:p>
      <w:pPr>
        <w:spacing w:after="60" w:before="160"/>
      </w:pPr>
      <w:r>
        <w:rPr>
          <w:b/>
          <w:bCs/>
          <w:color w:val="0F172A"/>
          <w:sz w:val="21"/>
          <w:szCs w:val="21"/>
        </w:rPr>
        <w:t xml:space="preserve">Additional Training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Management Development Program for talents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HP Network Node Manager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TippingPoint, NetContinuum, NetScreen &amp; Juniper SRX firewall training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Administering BIG-IP LTM, ASM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ITIL Foundation</w:t>
      </w:r>
    </w:p>
    <w:p>
      <w:pPr>
        <w:pStyle w:val="Heading2"/>
        <w:pBdr>
          <w:bottom w:val="single" w:color="0369A1" w:sz="6" w:space="4"/>
        </w:pBdr>
        <w:spacing w:after="120" w:before="280"/>
      </w:pPr>
      <w:r>
        <w:rPr>
          <w:b/>
          <w:bCs/>
          <w:caps/>
          <w:color w:val="0F172A"/>
          <w:spacing w:val="20"/>
          <w:sz w:val="24"/>
          <w:szCs w:val="24"/>
        </w:rPr>
        <w:t xml:space="preserve">Education</w:t>
      </w:r>
    </w:p>
    <w:p>
      <w:pPr>
        <w:spacing w:after="20"/>
      </w:pPr>
      <w:r>
        <w:rPr>
          <w:color w:val="222222"/>
          <w:sz w:val="21"/>
          <w:szCs w:val="21"/>
        </w:rPr>
        <w:t xml:space="preserve">Bachelor of Computer Science and Systems Information — Business Administration</w:t>
      </w:r>
    </w:p>
    <w:p>
      <w:pPr>
        <w:spacing w:after="100"/>
      </w:pPr>
      <w:r>
        <w:rPr>
          <w:color w:val="5B6B84"/>
          <w:sz w:val="20"/>
          <w:szCs w:val="20"/>
        </w:rPr>
        <w:t xml:space="preserve">King Marute Academy, Alexandria, Egypt — 2004</w:t>
      </w:r>
    </w:p>
    <w:p>
      <w:pPr>
        <w:pStyle w:val="Heading2"/>
        <w:pBdr>
          <w:bottom w:val="single" w:color="0369A1" w:sz="6" w:space="4"/>
        </w:pBdr>
        <w:spacing w:after="120" w:before="280"/>
      </w:pPr>
      <w:r>
        <w:rPr>
          <w:b/>
          <w:bCs/>
          <w:caps/>
          <w:color w:val="0F172A"/>
          <w:spacing w:val="20"/>
          <w:sz w:val="24"/>
          <w:szCs w:val="24"/>
        </w:rPr>
        <w:t xml:space="preserve">Awards &amp; Recognition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Best Performance for Cybersecurity Projects, Regional Banking Group — 2019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Employee of the Month, Regional Banking Group — 4 times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Excellent Annual Appraisal, Regional Banking Group — 8 consecutive years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Employee of the Year, Commercial Bank International — 2009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C3 Cards Customer Appreciation Award, Commercial Bank International — for project implementation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ifa1h8mjzr2pnjc33ijy" Type="http://schemas.openxmlformats.org/officeDocument/2006/relationships/hyperlink" Target="https://www.linkedin.com/in/aashaheen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2026-08-02T05:45:24.475Z</dcterms:created>
  <dcterms:modified xsi:type="dcterms:W3CDTF">2026-08-02T05:45:24.479Z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